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C52EAF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 w:val="0"/>
                <w:bCs w:val="0"/>
                <w:color w:val="000000"/>
                <w:sz w:val="56"/>
                <w:szCs w:val="56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000000"/>
                <w:sz w:val="56"/>
                <w:szCs w:val="56"/>
              </w:rPr>
              <w:t>Plant Systems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000000"/>
                <w:sz w:val="24"/>
                <w:szCs w:val="24"/>
              </w:rPr>
              <w:t>Media Type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Microsoft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000000"/>
                <w:sz w:val="24"/>
                <w:szCs w:val="24"/>
              </w:rPr>
              <w:t>Duration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38 slides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000000"/>
                <w:sz w:val="24"/>
                <w:szCs w:val="24"/>
              </w:rPr>
              <w:t>Description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 xml:space="preserve">Plant Systems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 is a guide to exploring career opportunities found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 of the Agriculture, Food and Natural Resources Cluster. Careers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 this pathway focus on the development of horticulture products and how those products affect the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environment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>. Students will analyze and explore career descriptions, working environments,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educational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requirements, skills needed and the salary of several careers within the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Careers covered include botanist, agronomist, crop advisor, entomologist and more.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000000"/>
                <w:sz w:val="24"/>
                <w:szCs w:val="24"/>
              </w:rPr>
              <w:t>Objectives: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1. To analyze occupations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2. To discover and describe career options available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3. To explore the working environment, education, skills needed and salary of careers available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  <w:t>Core-Subject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  <w:t>Area Foundation Concept Basic Understanding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  <w:t xml:space="preserve">Math </w:t>
            </w: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 xml:space="preserve">Logical Skills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reasoning; problem solving; real-life applications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  <w:t>Language Arts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>Application of Writing Skills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editing/proofreading; descriptive, informative and creative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writing; organizing logical arguments; brainstorming;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analyzing audiences; utilizing reference materials;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vocabulary enhancement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>Analysis of Text, Literature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>Information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reading/content literacy; critical thinking; creative thinking;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expression of thoughts and ideas; communication skills;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developing listening and comprehension skills; creating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visual representations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>Technology Applications in Literature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utilizing document processing software; utilizing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presentation processing software; internet-based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 w:val="0"/>
                <w:bCs w:val="0"/>
                <w:color w:val="FFFFFF"/>
                <w:sz w:val="20"/>
                <w:szCs w:val="20"/>
              </w:rPr>
              <w:t xml:space="preserve">Science </w:t>
            </w:r>
            <w:r>
              <w:rPr>
                <w:rFonts w:ascii="Arial-BoldItalicMT" w:hAnsi="Arial-BoldItalicMT" w:cs="Arial-BoldItalicMT"/>
                <w:b w:val="0"/>
                <w:bCs w:val="0"/>
                <w:i/>
                <w:iCs/>
                <w:color w:val="000000"/>
                <w:sz w:val="20"/>
                <w:szCs w:val="20"/>
              </w:rPr>
              <w:t>Scientific Thinking and Investigating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field and laboratory investigations; critical thinking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scientific problem solving; real-world investigations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applications; analytical skills; collecting data; </w:t>
            </w:r>
            <w:proofErr w:type="spell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technologybased</w:t>
            </w:r>
            <w:proofErr w:type="spellEnd"/>
          </w:p>
          <w:p w:rsidR="003C2732" w:rsidRPr="009D15D4" w:rsidRDefault="006353A8" w:rsidP="006353A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research; evaluating conclusion</w:t>
            </w:r>
          </w:p>
        </w:tc>
        <w:tc>
          <w:tcPr>
            <w:tcW w:w="4969" w:type="dxa"/>
            <w:gridSpan w:val="2"/>
          </w:tcPr>
          <w:p w:rsidR="00253426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253426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403617" w:rsidP="00253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C77342" w:rsidP="009C3E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253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9C3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9C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9C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C52EAF" w:rsidP="009C3E25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56"/>
                <w:szCs w:val="56"/>
              </w:rPr>
              <w:t>Plant Systems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Media Type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Microsoft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Duration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38 slides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Description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 xml:space="preserve">Plant Systems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 is a guide to exploring career opportunities found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 of the Agriculture, Food and Natural Resources Cluster. Careers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 this pathway focus on the development of horticulture products and how those products affect the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environment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>. Students will analyze and explore career descriptions, working environments,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educational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requirements, skills needed and the salary of several careers within the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Careers covered include botanist, agronomist, crop advisor, entomologist and more.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Objectives: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1. To analyze occupations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2. To discover and describe career options available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3. To explore the working environment, education, skills needed and salary of careers available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Core-Subject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Area Foundation Concept Basic Understanding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 xml:space="preserve">Math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Logical Skills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reasoning; problem solving; real-life applications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Language Arts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Application of Writing Skills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editing/proofreading; descriptive, informative and creative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writing; organizing logical arguments; brainstorming;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analyzing audiences; utilizing reference materials;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vocabulary enhancement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Analysis of Text, Literature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Information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reading/content literacy; critical thinking; creative thinking;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expression of thoughts and ideas; communication skills;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developing listening and comprehension skills; creating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visual representations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Technology Applications in Literature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utilizing document processing software; utilizing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presentation processing software; internet-based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 xml:space="preserve">Science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Scientific Thinking and Investigating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field and laboratory investigations; critical thinking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scientific problem solving; real-world investigations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applications; analytical skills; collecting data; </w:t>
            </w:r>
            <w:proofErr w:type="spell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technologybased</w:t>
            </w:r>
            <w:proofErr w:type="spellEnd"/>
          </w:p>
          <w:p w:rsidR="00B8345F" w:rsidRPr="009D15D4" w:rsidRDefault="006353A8" w:rsidP="006353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research; evaluating conclusion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1B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A0446" w:rsidRDefault="001A0446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9C3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446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B8345F" w:rsidRDefault="001A0446" w:rsidP="001A0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446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Default="00C52EAF" w:rsidP="001A04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C77342" w:rsidRPr="00B01066" w:rsidRDefault="00C77342" w:rsidP="001A04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5" w:type="dxa"/>
          </w:tcPr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56"/>
                <w:szCs w:val="56"/>
              </w:rPr>
              <w:t>Plant Systems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Media Type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Microsoft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Duration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38 slides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Description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-ItalicMT" w:hAnsi="Arial-ItalicMT" w:cs="Arial-ItalicMT"/>
                <w:i/>
                <w:iCs/>
                <w:color w:val="000000"/>
                <w:sz w:val="24"/>
                <w:szCs w:val="24"/>
              </w:rPr>
              <w:t xml:space="preserve">Plant Systems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PowerPoint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® 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presentation is a guide to exploring career opportunities found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 of the Agriculture, Food and Natural Resources Cluster. Careers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in this pathway focus on the development of horticulture products and how those products affect the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environment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>. Students will analyze and explore career descriptions, working environments,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educational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requirements, skills needed and the salary of several careers within the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Careers covered include botanist, agronomist, crop advisor, entomologist and more.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Objectives: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1. To analyze occupations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2. To discover and describe career options available within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3. To explore the working environment, education, skills needed and salary of careers available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color w:val="000000"/>
                <w:sz w:val="24"/>
                <w:szCs w:val="24"/>
              </w:rPr>
              <w:t>within</w:t>
            </w:r>
            <w:proofErr w:type="gramEnd"/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the Plant Systems Pathway.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Core-Subject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Area Foundation Concept Basic Understanding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 xml:space="preserve">Math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 xml:space="preserve">Logical Skills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reasoning; problem solving; real-life applications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>Language Arts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Application of Writing Skills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editing/proofreading; descriptive, informative and creative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writing; organizing logical arguments; brainstorming;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analyzing audiences; utilizing reference materials;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vocabulary enhancement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Analysis of Text, Literature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Information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reading/content literacy; critical thinking; creative thinking;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expression of thoughts and ideas; communication skills;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developing listening and comprehension skills; creating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visual representations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Technology Applications in Literature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utilizing document processing software; utilizing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presentation processing software; internet-based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  <w:sz w:val="20"/>
                <w:szCs w:val="20"/>
              </w:rPr>
              <w:t xml:space="preserve">Science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color w:val="000000"/>
                <w:sz w:val="20"/>
                <w:szCs w:val="20"/>
              </w:rPr>
              <w:t>Scientific Thinking and Investigating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field and laboratory investigations; critical thinking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scientific problem solving; real-world investigations and</w:t>
            </w:r>
          </w:p>
          <w:p w:rsidR="006353A8" w:rsidRDefault="006353A8" w:rsidP="006353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applications; analytical skills; collecting data; </w:t>
            </w:r>
            <w:proofErr w:type="spellStart"/>
            <w:r>
              <w:rPr>
                <w:rFonts w:ascii="ArialMT" w:hAnsi="ArialMT" w:cs="ArialMT"/>
                <w:color w:val="000000"/>
                <w:sz w:val="18"/>
                <w:szCs w:val="18"/>
              </w:rPr>
              <w:t>technologybased</w:t>
            </w:r>
            <w:proofErr w:type="spellEnd"/>
          </w:p>
          <w:p w:rsidR="001A0446" w:rsidRPr="009D15D4" w:rsidRDefault="006353A8" w:rsidP="00635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>research; evaluating conclusion</w:t>
            </w:r>
            <w:bookmarkStart w:id="0" w:name="_GoBack"/>
            <w:bookmarkEnd w:id="0"/>
          </w:p>
        </w:tc>
        <w:tc>
          <w:tcPr>
            <w:tcW w:w="4969" w:type="dxa"/>
            <w:gridSpan w:val="2"/>
          </w:tcPr>
          <w:p w:rsidR="001A0446" w:rsidRPr="006D5F3F" w:rsidRDefault="001A0446" w:rsidP="001A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  <w:r w:rsidR="00C52EAF">
              <w:rPr>
                <w:rFonts w:ascii="Calibri" w:hAnsi="Calibri" w:cs="Calibri"/>
                <w:sz w:val="19"/>
                <w:szCs w:val="19"/>
              </w:rPr>
              <w:t>A; 5.B; 5.C; 5.D; 5.E; 6.A; 6.B; 6.C; 8.D; 8.F; 8.G</w:t>
            </w:r>
          </w:p>
        </w:tc>
      </w:tr>
      <w:tr w:rsidR="001A0446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77342" w:rsidRPr="00CE2EA9" w:rsidRDefault="00C77342" w:rsidP="001A0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446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1A0446" w:rsidRDefault="001A0446" w:rsidP="001A0446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446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1A0446" w:rsidRDefault="001A0446" w:rsidP="001A0446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446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B8345F" w:rsidRDefault="001A0446" w:rsidP="001A04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446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9D15D4" w:rsidRDefault="001A0446" w:rsidP="001A04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1A0446" w:rsidRPr="006D5F3F" w:rsidRDefault="001A0446" w:rsidP="00875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1A0446" w:rsidRPr="006D5F3F" w:rsidRDefault="001A0446" w:rsidP="001A0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1A0446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446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1A0446" w:rsidRDefault="001A0446" w:rsidP="001A0446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A0446" w:rsidRDefault="001A0446" w:rsidP="0086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446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6D5F3F" w:rsidRDefault="001A0446" w:rsidP="001A0446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1A0446" w:rsidRDefault="001A0446" w:rsidP="001A0446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0446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1A0446" w:rsidRPr="00B8345F" w:rsidRDefault="001A0446" w:rsidP="001A0446">
            <w:pPr>
              <w:rPr>
                <w:b/>
                <w:sz w:val="20"/>
                <w:szCs w:val="20"/>
              </w:rPr>
            </w:pPr>
          </w:p>
        </w:tc>
        <w:tc>
          <w:tcPr>
            <w:tcW w:w="9564" w:type="dxa"/>
            <w:gridSpan w:val="3"/>
          </w:tcPr>
          <w:p w:rsidR="001A0446" w:rsidRDefault="001A0446" w:rsidP="001A0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sectPr w:rsidR="00417D8F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B6" w:rsidRDefault="001714B6" w:rsidP="00D21AA7">
      <w:pPr>
        <w:spacing w:after="0" w:line="240" w:lineRule="auto"/>
      </w:pPr>
      <w:r>
        <w:separator/>
      </w:r>
    </w:p>
  </w:endnote>
  <w:endnote w:type="continuationSeparator" w:id="0">
    <w:p w:rsidR="001714B6" w:rsidRDefault="001714B6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B6" w:rsidRDefault="001714B6" w:rsidP="00D21AA7">
      <w:pPr>
        <w:spacing w:after="0" w:line="240" w:lineRule="auto"/>
      </w:pPr>
      <w:r>
        <w:separator/>
      </w:r>
    </w:p>
  </w:footnote>
  <w:footnote w:type="continuationSeparator" w:id="0">
    <w:p w:rsidR="001714B6" w:rsidRDefault="001714B6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1A0446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1A0446" w:rsidRDefault="001A0446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</w:t>
          </w:r>
          <w:r w:rsidR="008565F5">
            <w:rPr>
              <w:color w:val="FFFFFF" w:themeColor="background1"/>
            </w:rPr>
            <w:t>August 19-23</w:t>
          </w:r>
        </w:p>
        <w:p w:rsidR="001A0446" w:rsidRDefault="001A0446" w:rsidP="009D15D4">
          <w:pPr>
            <w:pStyle w:val="Header"/>
            <w:rPr>
              <w:color w:val="FFFFFF" w:themeColor="background1"/>
            </w:rPr>
          </w:pPr>
        </w:p>
        <w:p w:rsidR="001A0446" w:rsidRDefault="001A0446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1A0446" w:rsidRPr="004A3978" w:rsidRDefault="008565F5" w:rsidP="008565F5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advanced plant science/greehouse</w:t>
          </w:r>
          <w:r w:rsidR="001A0446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</w:t>
          </w:r>
          <w:r w:rsidR="00585B0E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1A0446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  </w:t>
          </w:r>
        </w:p>
      </w:tc>
    </w:tr>
  </w:tbl>
  <w:p w:rsidR="001A0446" w:rsidRDefault="001A0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14B6"/>
    <w:rsid w:val="0017678F"/>
    <w:rsid w:val="001879FA"/>
    <w:rsid w:val="001A0446"/>
    <w:rsid w:val="001B4B9F"/>
    <w:rsid w:val="001B4F77"/>
    <w:rsid w:val="001C50B5"/>
    <w:rsid w:val="001D3EBA"/>
    <w:rsid w:val="001E0220"/>
    <w:rsid w:val="001F2DF8"/>
    <w:rsid w:val="0020599D"/>
    <w:rsid w:val="00243037"/>
    <w:rsid w:val="0024677B"/>
    <w:rsid w:val="00250D99"/>
    <w:rsid w:val="00253426"/>
    <w:rsid w:val="00254FBD"/>
    <w:rsid w:val="0026698A"/>
    <w:rsid w:val="002C17BC"/>
    <w:rsid w:val="00316573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85B0E"/>
    <w:rsid w:val="005B035D"/>
    <w:rsid w:val="005D4140"/>
    <w:rsid w:val="005F3359"/>
    <w:rsid w:val="0061756A"/>
    <w:rsid w:val="006338AC"/>
    <w:rsid w:val="006353A8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608F8"/>
    <w:rsid w:val="00782226"/>
    <w:rsid w:val="007953BD"/>
    <w:rsid w:val="007D1352"/>
    <w:rsid w:val="007F121F"/>
    <w:rsid w:val="00833E46"/>
    <w:rsid w:val="008565F5"/>
    <w:rsid w:val="0086355A"/>
    <w:rsid w:val="008663EB"/>
    <w:rsid w:val="00875F68"/>
    <w:rsid w:val="008929F9"/>
    <w:rsid w:val="008E29C2"/>
    <w:rsid w:val="00905920"/>
    <w:rsid w:val="00931096"/>
    <w:rsid w:val="009400EE"/>
    <w:rsid w:val="00945211"/>
    <w:rsid w:val="00947D3E"/>
    <w:rsid w:val="00982181"/>
    <w:rsid w:val="009C3E25"/>
    <w:rsid w:val="009D0575"/>
    <w:rsid w:val="009D15D4"/>
    <w:rsid w:val="00A41334"/>
    <w:rsid w:val="00A4339A"/>
    <w:rsid w:val="00A44456"/>
    <w:rsid w:val="00AA47BB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52EAF"/>
    <w:rsid w:val="00C65FD7"/>
    <w:rsid w:val="00C77342"/>
    <w:rsid w:val="00CC44F2"/>
    <w:rsid w:val="00CE2EA9"/>
    <w:rsid w:val="00CF6DD3"/>
    <w:rsid w:val="00D12D3B"/>
    <w:rsid w:val="00D21AA7"/>
    <w:rsid w:val="00D25165"/>
    <w:rsid w:val="00DA5DCB"/>
    <w:rsid w:val="00DB73C9"/>
    <w:rsid w:val="00DC7F5D"/>
    <w:rsid w:val="00DD30ED"/>
    <w:rsid w:val="00E4077F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B7F96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253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2019-06-13T19:58:00Z</dcterms:created>
  <dcterms:modified xsi:type="dcterms:W3CDTF">2019-06-13T19:58:00Z</dcterms:modified>
</cp:coreProperties>
</file>